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ind w:left="0" w:righ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ind w:left="0" w:right="0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75"/>
        <w:ind w:left="0" w:right="0" w:firstLine="567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г. Хабаровск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"___" 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5"/>
        <w:ind w:left="0"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кционерное общество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Дальневосточная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генерирующая компания» (АО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ДГК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»)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(далее –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_____________________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, действующего на основании ________, с одной стороны, и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0"/>
          <w:sz w:val="24"/>
          <w:szCs w:val="24"/>
        </w:rPr>
      </w:r>
      <w:r>
        <w:rPr>
          <w:rFonts w:ascii="Times New Roman" w:hAnsi="Times New Roman" w:cs="Times New Roman"/>
          <w:spacing w:val="10"/>
          <w:sz w:val="24"/>
          <w:szCs w:val="24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Полное наименование Контрагента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 (сокращенное наименование Контрагента)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ее 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____________, действующего на основании _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__________________, с другой стороны,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94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совместно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дальнейшем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именуемые Стороны, а по отдельности Сторона,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результатам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проведенной Покупателем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конкурентной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закупочной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процедуры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лоту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№ 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_____ и на основании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протокола от ______ №______,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заключили настоящий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оговор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(далее – «Договор») о нижеследующем: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89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center"/>
        <w:shd w:val="clear" w:color="auto" w:fill="ffffff"/>
        <w:rPr>
          <w:highlight w:val="none"/>
        </w:rPr>
      </w:pPr>
      <w:r>
        <w:rPr>
          <w:b/>
          <w:bCs/>
          <w:sz w:val="24"/>
          <w:szCs w:val="24"/>
          <w:highlight w:val="white"/>
        </w:rPr>
        <w:t xml:space="preserve">Термины и определения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567"/>
        <w:jc w:val="center"/>
        <w:shd w:val="clear" w:color="auto" w:fill="ffffff"/>
        <w:rPr>
          <w:b/>
          <w:bCs/>
          <w:sz w:val="24"/>
          <w:szCs w:val="24"/>
          <w:highlight w:val="white"/>
        </w:rPr>
      </w:pPr>
      <w:r>
        <w:rPr>
          <w:highlight w:val="non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</w:t>
      </w:r>
      <w:r>
        <w:rPr>
          <w:bCs/>
          <w:sz w:val="24"/>
          <w:szCs w:val="24"/>
          <w:highlight w:val="white"/>
        </w:rPr>
        <w:t xml:space="preserve">ующие значения, если иное прямо не указано в Договоре: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lang w:eastAsia="en-US"/>
        </w:rPr>
        <w:t xml:space="preserve">«Акт </w:t>
      </w:r>
      <w:r>
        <w:rPr>
          <w:b/>
          <w:sz w:val="24"/>
          <w:szCs w:val="24"/>
          <w:highlight w:val="white"/>
          <w:lang w:eastAsia="en-US"/>
        </w:rPr>
        <w:t xml:space="preserve">входного контроля»</w:t>
      </w:r>
      <w:r>
        <w:rPr>
          <w:sz w:val="24"/>
          <w:szCs w:val="24"/>
          <w:highlight w:val="white"/>
          <w:lang w:eastAsia="en-US"/>
        </w:rPr>
        <w:t xml:space="preserve"> – документ, оформля</w:t>
      </w:r>
      <w:r>
        <w:rPr>
          <w:sz w:val="24"/>
          <w:szCs w:val="24"/>
          <w:highlight w:val="white"/>
          <w:lang w:eastAsia="en-US"/>
        </w:rPr>
        <w:t xml:space="preserve">емый </w:t>
      </w:r>
      <w:r>
        <w:rPr>
          <w:sz w:val="24"/>
          <w:szCs w:val="24"/>
          <w:highlight w:val="white"/>
          <w:lang w:eastAsia="en-US"/>
        </w:rPr>
        <w:t xml:space="preserve">Покупателем </w:t>
      </w:r>
      <w:r>
        <w:rPr>
          <w:sz w:val="24"/>
          <w:szCs w:val="24"/>
          <w:highlight w:val="white"/>
          <w:lang w:eastAsia="en-US"/>
        </w:rPr>
        <w:t xml:space="preserve">в одностороннем порядке при приемке поставленного Товара </w:t>
      </w:r>
      <w:r>
        <w:rPr>
          <w:sz w:val="24"/>
          <w:szCs w:val="24"/>
          <w:highlight w:val="white"/>
          <w:lang w:eastAsia="en-US"/>
        </w:rPr>
        <w:t xml:space="preserve">по количеству</w:t>
      </w:r>
      <w:r>
        <w:rPr>
          <w:sz w:val="24"/>
          <w:szCs w:val="24"/>
          <w:highlight w:val="white"/>
          <w:lang w:eastAsia="en-US"/>
        </w:rPr>
        <w:t xml:space="preserve">,</w:t>
      </w:r>
      <w:r>
        <w:rPr>
          <w:sz w:val="24"/>
          <w:szCs w:val="24"/>
          <w:highlight w:val="white"/>
          <w:lang w:eastAsia="en-US"/>
        </w:rPr>
        <w:t xml:space="preserve"> качеству</w:t>
      </w:r>
      <w:r>
        <w:rPr>
          <w:sz w:val="24"/>
          <w:szCs w:val="24"/>
          <w:highlight w:val="white"/>
          <w:lang w:eastAsia="en-US"/>
        </w:rPr>
        <w:t xml:space="preserve"> и комплектности</w:t>
      </w:r>
      <w:r>
        <w:rPr>
          <w:sz w:val="24"/>
          <w:szCs w:val="24"/>
          <w:highlight w:val="white"/>
          <w:lang w:eastAsia="en-US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«Гарантийный срок»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– период,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в течение которого качество поставленного Товара должно соответствовать требованиям Договора и Применимого права, </w:t>
      </w:r>
      <w:r>
        <w:rPr>
          <w:sz w:val="24"/>
          <w:szCs w:val="24"/>
          <w:lang w:eastAsia="en-US"/>
        </w:rPr>
        <w:t xml:space="preserve">и Поставщик и/ или изготовитель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Товара </w:t>
      </w:r>
      <w:r>
        <w:rPr>
          <w:sz w:val="24"/>
          <w:szCs w:val="24"/>
          <w:lang w:eastAsia="en-US"/>
        </w:rPr>
        <w:t xml:space="preserve">обязуется устранять все выявленные Покупателем недостатки, несоответствия за свой счет. Гарантийный срок, если иное прямо не предусмотрено Договором, распространяется на все составляющие </w:t>
      </w:r>
      <w:r>
        <w:rPr>
          <w:sz w:val="24"/>
          <w:szCs w:val="24"/>
          <w:lang w:eastAsia="en-US"/>
        </w:rPr>
        <w:t xml:space="preserve">Т</w:t>
      </w:r>
      <w:r>
        <w:rPr>
          <w:sz w:val="24"/>
          <w:szCs w:val="24"/>
          <w:lang w:eastAsia="en-US"/>
        </w:rPr>
        <w:t xml:space="preserve">овара.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«Грузополучатели»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– Покупатель и/или его структурные подразделения.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«Договор»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настоящий договор, подписанный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Покупателем и Поставщиком, включая все п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риложения к нему, а также дополнительные соглашения к Договору при условии,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что они заключены надлежащим образом, и из них явно следует, что они составляют часть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«Накладная ТОРГ-12»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документ, оформляе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мый по унифицированной форме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№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ТОРГ-12 «Товарная накладная», утвержденной постановлением Госкомстата РФ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от 25.12.1998 №132, подписываемый Сторонами после завершения приемки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 количеству, качеству и комплектности.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right="0" w:firstLine="567"/>
        <w:jc w:val="both"/>
        <w:tabs>
          <w:tab w:val="left" w:pos="0" w:leader="none"/>
        </w:tabs>
        <w:rPr>
          <w:sz w:val="24"/>
          <w:szCs w:val="24"/>
          <w:highlight w:val="none"/>
          <w:lang w:eastAsia="en-US"/>
        </w:rPr>
      </w:pPr>
      <w:r>
        <w:rPr>
          <w:sz w:val="24"/>
          <w:szCs w:val="24"/>
          <w:highlight w:val="none"/>
          <w:lang w:eastAsia="en-US"/>
        </w:rPr>
      </w:r>
      <w:r>
        <w:rPr>
          <w:b/>
          <w:bCs/>
          <w:sz w:val="24"/>
          <w:szCs w:val="24"/>
          <w:highlight w:val="none"/>
          <w:lang w:eastAsia="en-US"/>
        </w:rPr>
        <w:t xml:space="preserve">«УПД»</w:t>
      </w:r>
      <w:r>
        <w:rPr>
          <w:sz w:val="24"/>
          <w:szCs w:val="24"/>
          <w:highlight w:val="none"/>
          <w:lang w:eastAsia="en-US"/>
        </w:rPr>
        <w:t xml:space="preserve"> – универсальный передаточный документ</w:t>
      </w:r>
      <w:r>
        <w:rPr>
          <w:sz w:val="24"/>
          <w:szCs w:val="24"/>
          <w:highlight w:val="none"/>
          <w:lang w:eastAsia="en-US"/>
        </w:rPr>
        <w:t xml:space="preserve">, утвержденный Приказом ФНС.</w:t>
      </w:r>
      <w:r>
        <w:rPr>
          <w:sz w:val="24"/>
          <w:szCs w:val="24"/>
          <w:highlight w:val="none"/>
          <w:lang w:eastAsia="en-US"/>
        </w:rPr>
      </w:r>
      <w:r>
        <w:rPr>
          <w:sz w:val="24"/>
          <w:szCs w:val="24"/>
          <w:highlight w:val="none"/>
          <w:lang w:eastAsia="en-US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«Отказ от Договора»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3"/>
        <w:ind w:left="0" w:right="0" w:firstLine="720"/>
        <w:jc w:val="both"/>
        <w:keepNext w:val="0"/>
        <w:spacing w:before="0" w:after="0" w:afterAutospacing="0"/>
        <w:tabs>
          <w:tab w:val="left" w:pos="0" w:leader="none"/>
        </w:tabs>
        <w:rPr>
          <w:rFonts w:ascii="Times New Roman" w:hAnsi="Times New Roman" w:cs="Times New Roman"/>
          <w:b w:val="0"/>
          <w:color w:val="auto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eastAsia="en-US"/>
        </w:rPr>
        <w:t xml:space="preserve">«Партия Товара»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– часть Товара, единовременно поставляемая Покупателю Поставщиком,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в соответствии со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Спецификацией, являющейся приложением к Договору.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ab/>
        <w:tab/>
      </w:r>
      <w:r>
        <w:rPr>
          <w:rFonts w:ascii="Times New Roman" w:hAnsi="Times New Roman" w:eastAsia="Times New Roman" w:cs="Times New Roman"/>
          <w:b w:val="0"/>
          <w:color w:val="ff0000"/>
          <w:sz w:val="24"/>
          <w:szCs w:val="24"/>
          <w:lang w:eastAsia="en-US"/>
        </w:rPr>
        <w:tab/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«Применимое право»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обязательные для Сторон в процес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национальные стандарты (ГОСТ Р), иные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нормативные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и противопожарной безопасности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относящиеся к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овару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Субъект МСП»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</w:r>
    </w:p>
    <w:p>
      <w:pPr>
        <w:ind w:left="0" w:right="0" w:firstLine="720"/>
        <w:jc w:val="both"/>
        <w:spacing w:after="0" w:afterAutospacing="0"/>
        <w:tabs>
          <w:tab w:val="left" w:pos="0" w:leader="none"/>
        </w:tabs>
        <w:rPr>
          <w:sz w:val="24"/>
          <w:szCs w:val="24"/>
          <w:highlight w:val="none"/>
          <w:lang w:eastAsia="en-US"/>
        </w:rP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«Цена Договора»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определяемая в соответствии с разделом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2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Договора сумма,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которую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обязуется уплатить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в порядке и на условиях, установленных </w:t>
      </w:r>
      <w:r>
        <w:rPr>
          <w:sz w:val="24"/>
          <w:szCs w:val="24"/>
          <w:lang w:eastAsia="en-US"/>
        </w:rPr>
        <w:t xml:space="preserve">Договором</w:t>
      </w:r>
      <w:r>
        <w:rPr>
          <w:sz w:val="24"/>
          <w:szCs w:val="24"/>
          <w:lang w:eastAsia="en-US"/>
        </w:rPr>
        <w:t xml:space="preserve">, включающая компенсацию всех издержек Поставщика и причитающееся ему вознаграждение, а также инфляционные риски на весь период действия Договора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</w:r>
      <w:r>
        <w:rPr>
          <w:sz w:val="24"/>
          <w:szCs w:val="24"/>
          <w:highlight w:val="none"/>
          <w:lang w:eastAsia="en-US"/>
        </w:rPr>
      </w:r>
    </w:p>
    <w:p>
      <w:pPr>
        <w:ind w:left="0" w:right="0" w:firstLine="720"/>
        <w:jc w:val="both"/>
        <w:spacing w:after="0" w:afterAutospacing="0"/>
        <w:tabs>
          <w:tab w:val="left" w:pos="0" w:leader="none"/>
        </w:tabs>
        <w:rPr>
          <w:sz w:val="24"/>
          <w:szCs w:val="24"/>
          <w:highlight w:val="none"/>
          <w:lang w:eastAsia="en-US"/>
        </w:rPr>
        <w:suppressLineNumbers w:val="0"/>
      </w:pPr>
      <w:r>
        <w:rPr>
          <w:sz w:val="24"/>
          <w:szCs w:val="24"/>
          <w:highlight w:val="none"/>
          <w:lang w:eastAsia="en-US"/>
        </w:rPr>
      </w:r>
      <w:r>
        <w:rPr>
          <w:sz w:val="24"/>
          <w:szCs w:val="24"/>
          <w:highlight w:val="none"/>
          <w:lang w:eastAsia="en-US"/>
        </w:rPr>
      </w:r>
      <w:r>
        <w:rPr>
          <w:sz w:val="24"/>
          <w:szCs w:val="24"/>
          <w:highlight w:val="none"/>
          <w:lang w:eastAsia="en-US"/>
        </w:rPr>
      </w:r>
    </w:p>
    <w:p>
      <w:pPr>
        <w:pStyle w:val="876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 договора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порядке и сроки, установленные Договором,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передать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собственность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жидкость герметизирующую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алее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– Товар)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соответствии со Спецификацией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 Покупатель обязуется принять Товар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уплатить Цену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Поставка Товара осуществляется партиями,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сроки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установленн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пунктом 3.1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Наименование и количество Товара,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Грузополучатель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указыва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Спецификации.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6"/>
        <w:numPr>
          <w:ilvl w:val="1"/>
          <w:numId w:val="11"/>
        </w:numPr>
        <w:ind w:left="0" w:right="0" w:firstLine="567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Общий срок поставки Товара: не позднее 60 (шестидесяти) календарных дней с даты заключения договора.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pStyle w:val="876"/>
        <w:ind w:left="0" w:righ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ff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</w:p>
    <w:p>
      <w:pPr>
        <w:pStyle w:val="876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Цена </w:t>
      </w:r>
      <w:r>
        <w:rPr>
          <w:rFonts w:ascii="Times New Roman" w:hAnsi="Times New Roman" w:cs="Times New Roman"/>
          <w:b/>
          <w:bCs/>
        </w:rPr>
        <w:t xml:space="preserve">договора и порядок расчетов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76"/>
        <w:ind w:left="0" w:right="0"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</w:rPr>
        <w:t xml:space="preserve">2.1.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Цена Договора является предельной и составляет _______ (__________) рублей ___ копеек, в том числе НДС (___%)_____________рублей.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2.2. Цена за единицу Товара определяется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Спецификации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соответствии </w:t>
      </w:r>
      <w:r>
        <w:rPr>
          <w:rFonts w:ascii="Times New Roman" w:hAnsi="Times New Roman" w:eastAsia="Times New Roman" w:cs="Times New Roman"/>
          <w:sz w:val="24"/>
        </w:rPr>
        <w:t xml:space="preserve">с условиями проведенной конкурентной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закупочной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процедуры и является фиксированной в течение всего срока действия Договора.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2.3. Цена Договора включает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себя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прибыль Поставщика, а также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все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затраты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Поставщика на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роизводство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и/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или приобретение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ранспортировку Товара до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еста поставки, погрузку, разгру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зку, стоимость тары и упаковки;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одлежащие уплате налоги, сборы 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пошлины (в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ом числе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таможенному оформлению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если применимо)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з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аработную плату, накладные 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командировочные 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персонала Поставщика;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се прочие затраты и расходы Поставщика, связанные с поставкой 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исполнением иных обязательств по Договору, а также все непредвиденные расходы, которые могут возникнуть у Поставщика в течение срока действия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76"/>
        <w:ind w:left="0" w:right="0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Times New Roman" w:cs="Times New Roman"/>
          <w:color w:val="auto"/>
          <w:highlight w:val="none"/>
        </w:rPr>
        <w:t xml:space="preserve">2.4. </w:t>
      </w:r>
      <w:r>
        <w:rPr>
          <w:rFonts w:ascii="Times New Roman" w:hAnsi="Times New Roman" w:cs="Times New Roman"/>
          <w:color w:val="auto"/>
        </w:rPr>
        <w:t xml:space="preserve">Порядок оплаты Товара: в размере 100% стоимости поставленного Товара производится по факту поставки  в течение </w:t>
      </w:r>
      <w:r>
        <w:rPr>
          <w:rFonts w:ascii="Times New Roman" w:hAnsi="Times New Roman" w:cs="Times New Roman"/>
          <w:color w:val="auto"/>
        </w:rPr>
        <w:t xml:space="preserve">7</w:t>
      </w:r>
      <w:r>
        <w:rPr>
          <w:rFonts w:ascii="Times New Roman" w:hAnsi="Times New Roman" w:cs="Times New Roman"/>
          <w:color w:val="auto"/>
        </w:rPr>
        <w:t xml:space="preserve"> (</w:t>
      </w:r>
      <w:r>
        <w:rPr>
          <w:rFonts w:ascii="Times New Roman" w:hAnsi="Times New Roman" w:cs="Times New Roman"/>
          <w:color w:val="auto"/>
        </w:rPr>
        <w:t xml:space="preserve">сем</w:t>
      </w:r>
      <w:r>
        <w:rPr>
          <w:rFonts w:ascii="Times New Roman" w:hAnsi="Times New Roman" w:cs="Times New Roman"/>
          <w:color w:val="auto"/>
        </w:rPr>
        <w:t xml:space="preserve">и</w:t>
      </w:r>
      <w:r>
        <w:rPr>
          <w:rFonts w:ascii="Times New Roman" w:hAnsi="Times New Roman" w:cs="Times New Roman"/>
          <w:color w:val="auto"/>
        </w:rPr>
        <w:t xml:space="preserve">) </w:t>
      </w:r>
      <w:r>
        <w:rPr>
          <w:rFonts w:ascii="Times New Roman" w:hAnsi="Times New Roman" w:cs="Times New Roman"/>
          <w:color w:val="auto"/>
        </w:rPr>
        <w:t xml:space="preserve">рабочих</w:t>
      </w:r>
      <w:r>
        <w:rPr>
          <w:rFonts w:ascii="Times New Roman" w:hAnsi="Times New Roman" w:cs="Times New Roman"/>
          <w:color w:val="auto"/>
        </w:rPr>
        <w:t xml:space="preserve"> дней с даты подписания Покупателем (грузополучателем)товарной накладной/или </w:t>
      </w:r>
      <w:r>
        <w:rPr>
          <w:rFonts w:ascii="Times New Roman" w:hAnsi="Times New Roman" w:cs="Times New Roman"/>
          <w:color w:val="auto"/>
        </w:rPr>
        <w:t xml:space="preserve">УПД при наличии </w:t>
      </w:r>
      <w:r>
        <w:rPr>
          <w:rFonts w:ascii="Times New Roman" w:hAnsi="Times New Roman" w:cs="Times New Roman"/>
          <w:color w:val="auto"/>
        </w:rPr>
        <w:t xml:space="preserve">акта входного контроля.</w:t>
      </w:r>
      <w:r>
        <w:rPr>
          <w:rFonts w:ascii="Times New Roman" w:hAnsi="Times New Roman" w:cs="Times New Roman"/>
          <w:color w:val="auto"/>
        </w:rPr>
      </w:r>
      <w:r>
        <w:rPr>
          <w:rFonts w:ascii="Times New Roman" w:hAnsi="Times New Roman" w:cs="Times New Roman"/>
          <w:color w:val="auto"/>
        </w:rPr>
      </w:r>
    </w:p>
    <w:p>
      <w:pPr>
        <w:pStyle w:val="876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 xml:space="preserve">2.5. Индексация цены Договора не предусм</w:t>
      </w:r>
      <w:r>
        <w:rPr>
          <w:rFonts w:ascii="Times New Roman" w:hAnsi="Times New Roman" w:eastAsia="Times New Roman" w:cs="Times New Roman"/>
          <w:color w:val="000000"/>
        </w:rPr>
        <w:t xml:space="preserve">отрена.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6"/>
        <w:ind w:left="0" w:right="0" w:firstLine="567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2.6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Расчеты по Договор</w:t>
      </w:r>
      <w:r>
        <w:rPr>
          <w:rFonts w:ascii="Times New Roman" w:hAnsi="Times New Roman" w:eastAsia="Times New Roman" w:cs="Times New Roman"/>
        </w:rPr>
        <w:t xml:space="preserve">у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осуществляются </w:t>
      </w:r>
      <w:r>
        <w:rPr>
          <w:rFonts w:ascii="Times New Roman" w:hAnsi="Times New Roman" w:eastAsia="Times New Roman" w:cs="Times New Roman"/>
        </w:rPr>
        <w:t xml:space="preserve">в валюте Российской Федерации. </w:t>
      </w:r>
      <w:r>
        <w:rPr>
          <w:rFonts w:ascii="Times New Roman" w:hAnsi="Times New Roman" w:eastAsia="Times New Roman" w:cs="Times New Roman"/>
        </w:rPr>
        <w:t xml:space="preserve"> Оплата производится путем перечисления денежных средств на расчетный счет </w:t>
      </w:r>
      <w:r>
        <w:rPr>
          <w:rFonts w:ascii="Times New Roman" w:hAnsi="Times New Roman" w:eastAsia="Times New Roman" w:cs="Times New Roman"/>
        </w:rPr>
        <w:t xml:space="preserve">Поставщика</w:t>
      </w:r>
      <w:r>
        <w:rPr>
          <w:rFonts w:ascii="Times New Roman" w:hAnsi="Times New Roman" w:eastAsia="Times New Roman" w:cs="Times New Roman"/>
        </w:rPr>
        <w:t xml:space="preserve">, указанный в Договоре.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Обязательства по оплате Товара </w:t>
      </w:r>
      <w:r>
        <w:rPr>
          <w:rFonts w:ascii="Times New Roman" w:hAnsi="Times New Roman" w:eastAsia="Times New Roman" w:cs="Times New Roman"/>
        </w:rPr>
        <w:t xml:space="preserve">считаются выполненными с даты списания денежных средств с расчетного счета </w:t>
      </w:r>
      <w:r>
        <w:rPr>
          <w:rFonts w:ascii="Times New Roman" w:hAnsi="Times New Roman" w:eastAsia="Times New Roman" w:cs="Times New Roman"/>
        </w:rPr>
        <w:t xml:space="preserve">Покупателя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76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  <w:t xml:space="preserve">2.7.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обязан представить Покупателю счета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фактуры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(или универсальные передаточные документы – далее УПД)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выставленные в сроки и оформленные в порядке, установленном законодательством Российской Федерации.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нарушения Поставщиком данного требования, он обязан произвести замену счета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фактуры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или УПД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течение 3 (трех) 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бочих дней с даты получения соответствующего письменного требования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567"/>
        <w:jc w:val="both"/>
        <w:shd w:val="clear" w:color="auto" w:fill="ffffff"/>
        <w:tabs>
          <w:tab w:val="left" w:pos="0" w:leader="none"/>
          <w:tab w:val="left" w:pos="567" w:leader="none"/>
          <w:tab w:val="left" w:pos="716" w:leader="none"/>
          <w:tab w:val="left" w:pos="1134" w:leader="none"/>
        </w:tabs>
        <w:rPr>
          <w:sz w:val="24"/>
          <w:szCs w:val="24"/>
          <w:highlight w:val="lightGray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u w:val="none"/>
        </w:rPr>
        <w:t xml:space="preserve">2.8.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Покупатель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вправе произвести сальдо взаимных обязательств Сторон путем уменьшения сумм причитающихся Поставщику платежей по Договору, а также по взаимосвязанным договорам (цепочке договоров), в рамках единого комплекса хозяйственных взаимоотношений Сторон, направленн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ых на исполнение Договора, на суммы задолженности Поставщика перед Покупателем, в том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 по Договору, стоимость работ по устранению недостатков </w:t>
      </w:r>
      <w:r>
        <w:rPr>
          <w:sz w:val="24"/>
        </w:rPr>
        <w:t xml:space="preserve">Товара, поставленного Поставщиком.</w: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</w:r>
    </w:p>
    <w:p>
      <w:pPr>
        <w:pStyle w:val="899"/>
        <w:ind w:left="0" w:right="0" w:firstLine="567"/>
        <w:jc w:val="both"/>
        <w:shd w:val="clear" w:color="auto" w:fill="ffffff"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направляет </w:t>
      </w:r>
      <w:r>
        <w:rPr>
          <w:sz w:val="24"/>
          <w:szCs w:val="24"/>
        </w:rPr>
        <w:t xml:space="preserve">Поставщику</w:t>
      </w:r>
      <w:r>
        <w:rPr>
          <w:sz w:val="24"/>
          <w:szCs w:val="24"/>
        </w:rPr>
        <w:t xml:space="preserve"> уведомление о проведении сальдо взаимных обязательств Сторон по Договору.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2.9. </w:t>
      </w:r>
      <w:r>
        <w:rPr>
          <w:szCs w:val="24"/>
        </w:rPr>
        <w:t xml:space="preserve">Обеспечительный платеж исполнения обязательств по Договору, </w:t>
      </w:r>
      <w:r>
        <w:rPr>
          <w:szCs w:val="24"/>
        </w:rPr>
        <w:t xml:space="preserve">в</w:t>
      </w:r>
      <w:r>
        <w:rPr>
          <w:szCs w:val="24"/>
        </w:rPr>
        <w:t xml:space="preserve"> размере 5% (НДС не облагается) от цены Договора, в соответствии с опубликованным протоколом по выбору победителя внесенный Поставщиком на расчетный счет Покупателя 407 028 102 700 000 088 18, ДАЛЬНЕВОСТОЧНЫЙ БАНК ПАО СБЕРБАНК, БИК 040813608, Кор. счет 301</w:t>
      </w:r>
      <w:r>
        <w:rPr>
          <w:szCs w:val="24"/>
        </w:rPr>
        <w:t xml:space="preserve"> </w:t>
      </w:r>
      <w:r>
        <w:rPr>
          <w:szCs w:val="24"/>
        </w:rPr>
        <w:t xml:space="preserve">018 106 000 000 006 08, в течении 10 (десяти) календарных дней с даты официальной публикации протокола по выбору победителя в Единой информационной системе в сфере закупок (www.zakupki.gov.ru), подлежит возврату Поставщику в течение 70 (семьдесят) календар</w:t>
      </w:r>
      <w:r>
        <w:rPr>
          <w:szCs w:val="24"/>
        </w:rPr>
        <w:t xml:space="preserve">н</w:t>
      </w:r>
      <w:r>
        <w:rPr>
          <w:szCs w:val="24"/>
        </w:rPr>
        <w:t xml:space="preserve">ых дней с даты полного исполнения обязательств по заключенному Договору со стороны Поставщика,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</w:t>
      </w:r>
      <w:r>
        <w:rPr>
          <w:szCs w:val="24"/>
        </w:rPr>
        <w:t xml:space="preserve">м обязательств по Договору.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 случае неисполнения Поставщиком обязательств по поставке Товара надлежащего качества, в объеме и в сроки, указанные в Договоре, Покупатель вправе удержать из обеспечительного платежа сумму начисленной Поставщику неустойки (пеней и штрафов), установленн</w:t>
      </w:r>
      <w:r>
        <w:rPr>
          <w:szCs w:val="24"/>
        </w:rPr>
        <w:t xml:space="preserve">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</w:t>
      </w:r>
      <w:r>
        <w:rPr>
          <w:szCs w:val="24"/>
        </w:rPr>
        <w:t xml:space="preserve"> том случае, если сумма неустойки (пеней и штрафов) установленных Договором и (или) сумма убытков в связи с ненадлежащим исполнением Поставщиком обязательств по договору не покрывается в полном объеме суммой обеспечительного платежа, то Поставщик обязан оп</w:t>
      </w:r>
      <w:r>
        <w:rPr>
          <w:szCs w:val="24"/>
        </w:rPr>
        <w:t xml:space="preserve">латить на р/счет Покупателя разницу, в течение 10-ти дней с момента получения претензии с требованием об оплате.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</w:t>
      </w:r>
      <w:r>
        <w:rPr>
          <w:szCs w:val="24"/>
        </w:rPr>
        <w:t xml:space="preserve"> случае выбора Поставщиком обеспечения исполнения обязательств по Договору в виде независимой гарантии, Поставщик обязуется предоставить Покупателю независимую гарантию надлежащего исполнения обязательств по Договору в срок, установленный Документацией о з</w:t>
      </w:r>
      <w:r>
        <w:rPr>
          <w:szCs w:val="24"/>
        </w:rPr>
        <w:t xml:space="preserve">а</w:t>
      </w:r>
      <w:r>
        <w:rPr>
          <w:szCs w:val="24"/>
        </w:rPr>
        <w:t xml:space="preserve">купке, отвечающую требованиям, указанным в приложениях №3, №3.1, №3.2 к настоящему Договору, на сумму 5% (НДС не облагается) от цены Договора, в соответствии с опубликованным протоколом по выбору победителя), по акту приема-передачи по форме, согласно прил</w:t>
      </w:r>
      <w:r>
        <w:rPr>
          <w:szCs w:val="24"/>
        </w:rPr>
        <w:t xml:space="preserve">ожению № 4 к настоящему Договору.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Исполнение Поставщиком обязательств по договору обеспечивается независимой гарантией № ХХХХХХХХ от ХХ.ХХ.ХХХХ года, выданной ХХХ «ХХХХХХХХ».</w:t>
      </w:r>
      <w:r/>
    </w:p>
    <w:p>
      <w:pPr>
        <w:numPr>
          <w:ilvl w:val="1"/>
          <w:numId w:val="17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 </w:t>
      </w:r>
      <w:r>
        <w:rPr>
          <w:sz w:val="24"/>
          <w:szCs w:val="24"/>
          <w:highlight w:val="white"/>
        </w:rPr>
        <w:t xml:space="preserve">Поставщик обязан </w:t>
      </w:r>
      <w:r>
        <w:rPr>
          <w:sz w:val="24"/>
          <w:szCs w:val="24"/>
          <w:highlight w:val="white"/>
        </w:rPr>
        <w:t xml:space="preserve">п</w:t>
      </w:r>
      <w:r>
        <w:rPr>
          <w:sz w:val="24"/>
          <w:szCs w:val="24"/>
          <w:highlight w:val="white"/>
        </w:rPr>
        <w:t xml:space="preserve">одписать акты сверки взаимных расчетов, направленные </w:t>
      </w:r>
      <w:r>
        <w:rPr>
          <w:sz w:val="24"/>
          <w:szCs w:val="24"/>
          <w:highlight w:val="white"/>
        </w:rPr>
        <w:t xml:space="preserve">Покупателем</w:t>
      </w:r>
      <w:r>
        <w:rPr>
          <w:sz w:val="24"/>
          <w:szCs w:val="24"/>
          <w:highlight w:val="white"/>
        </w:rPr>
        <w:t xml:space="preserve"> в 2 (двух) экземплярах, и вернуть 1 (один) экземпляр </w:t>
      </w:r>
      <w:r>
        <w:rPr>
          <w:sz w:val="24"/>
          <w:szCs w:val="24"/>
          <w:highlight w:val="white"/>
        </w:rPr>
        <w:t xml:space="preserve">Покупателю</w:t>
      </w:r>
      <w:r>
        <w:rPr>
          <w:sz w:val="24"/>
          <w:szCs w:val="24"/>
          <w:highlight w:val="white"/>
        </w:rPr>
        <w:t xml:space="preserve"> в течение 5 (пяти) рабочих дней с даты получения экземпляров актов сверки расчетов от </w:t>
      </w:r>
      <w:r>
        <w:rPr>
          <w:sz w:val="24"/>
          <w:szCs w:val="24"/>
          <w:highlight w:val="white"/>
        </w:rPr>
        <w:t xml:space="preserve">Покупателя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6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и условия поставки</w:t>
      </w:r>
      <w:r>
        <w:rPr>
          <w:rFonts w:ascii="Times New Roman" w:hAnsi="Times New Roman" w:cs="Times New Roman"/>
          <w:b/>
          <w:bCs/>
        </w:rPr>
        <w:t xml:space="preserve"> Товара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76"/>
        <w:ind w:left="0" w:right="0" w:firstLine="56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76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</w:t>
      </w:r>
      <w:r>
        <w:rPr>
          <w:rFonts w:ascii="Times New Roman" w:hAnsi="Times New Roman" w:cs="Times New Roman"/>
        </w:rPr>
        <w:tab/>
        <w:t xml:space="preserve">Поставка Товара производится партиями, в срок не позднее 60 (шестидесяти) календарных дней с даты заключения Договора.</w:t>
      </w:r>
      <w:r>
        <w:rPr>
          <w:rFonts w:ascii="Times New Roman" w:hAnsi="Times New Roman" w:cs="Times New Roman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3.2.</w:t>
        <w:tab/>
        <w:t xml:space="preserve">Доставка Товара осуществляется за счет Поставщика до склада Грузополучателя по реквизитам указанным в Спецификации.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3.3.</w:t>
        <w:tab/>
        <w:t xml:space="preserve">Качество,  количество и ассортимент поставляемого по Договору Товара должны соответствовать требованиям Договора, а также Применимого права. Некачественный  Товар считается не поставленным.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Объем фактически поставленного Товара может отличаться от объема,  согласованного в Спецификации с учетом транзитных норм отгрузки бочкотары. Допускается отступление поставки Товара по количеству в пределах -/+ 5%. В этом случае Покупатель производит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оплату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 фактически поставленного Товара, без оформления дополнительного соглашения к Договору.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3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.4.</w:t>
        <w:tab/>
        <w:t xml:space="preserve">Поставляемый Товар должен быть новым, не бывшим в употреблении, пригодным для использования по своему назначению. Поставщик гарантирует, что Товар принадлежит ему на законном основании, в споре, залоге или под арестом не состоит, и не обременен правами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 третьих лиц.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3.5.</w:t>
        <w:tab/>
        <w:t xml:space="preserve">Одновременно с передачей Товара Поставщик обязан передать Покупателю оригиналы следующих относящихся к Товару документов: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</w:t>
        <w:tab/>
        <w:t xml:space="preserve"> паспорт качества на русском языке в __ (____) экз.;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</w:t>
        <w:tab/>
        <w:t xml:space="preserve">упаковочный лист в __ (____) экз.;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</w:t>
        <w:tab/>
        <w:t xml:space="preserve">иные документы (сертификат соответствия, .) в зависимости от номенклатуры поставляемого Товара;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</w:t>
        <w:tab/>
        <w:t xml:space="preserve">накладная ТОРГ-12/УПД в __ (____) экз.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В случае отсутствия этих документов Покупатель вправе приостановить приемку Товара до момента их предоставления Поставщиком.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3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.6.</w:t>
        <w:tab/>
        <w:t xml:space="preserve">Товар должен отгружаться Поставщиком в таре и упаковке, обеспечивающей полную сохранность Товара от всякого рода повреждений и порчи, с учетом возможных перегрузок и длительного хранения. Поставщик обязан сообщить Покупателю условия длительного хранени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я поставленного Товара (допускается определение условий хранения в сопроводительных документах).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Т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ара и упаковка Товара должны соответствовать требованиям Применимого права, предъявляемым к таре и упаковке соответствующего Товара. Упаковка Товара должна быть в заводской фасовке, за пломбой завода-изготовителя и обеспечивать ее сохранность при транспорт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ировке и хранении. Маркировка, упаковка и транспортировка Товара должна соответствовать требованиям ГОСТ 1510-22.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Стоимость тары и упаковки включена в стоимость Товара. Тара и упаковка возврату не подлежат.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3.7.</w:t>
        <w:tab/>
        <w:t xml:space="preserve">Погрузка, доставка и разгрузка Товара осуществляется Поставщиком. Стоимость погрузки, доставки и разгрузки Товара включена в Цену Договора.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3.8.</w:t>
        <w:tab/>
        <w:t xml:space="preserve">Досрочная поставка Товара допускается только при условии получения Поставщиком письменного согласия Покупателя.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/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3.9.</w:t>
        <w:tab/>
        <w:t xml:space="preserve">Датой поставки Товара является дата подписания Сторонами НакладнойТОРГ-12/ или УПД, при наличии Акта входного контроля.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3.10.</w:t>
        <w:tab/>
        <w:t xml:space="preserve">Право собственности на Товар, а также риск его случайной гибели или случайного повреждения переходит от Поставщика к Покупателю с даты подписания Сторонами Накладной ТОРГ-12/ или УПД.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 Транспорт</w:t>
      </w:r>
      <w:r>
        <w:rPr>
          <w:rFonts w:ascii="Times New Roman" w:hAnsi="Times New Roman" w:cs="Times New Roman"/>
          <w:sz w:val="24"/>
          <w:szCs w:val="24"/>
        </w:rPr>
        <w:t xml:space="preserve"> Поставщика (Перевозчика) должен прибыть под разгрузку в адрес Грузополучателя с 10 час. 00 мин. до 15 час. 00 мин. (время местное) в рабочие дни, в противном случае транспорт к разгрузке не допускается и расходы за его простой, Покупателем не возмещаются.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12</w:t>
      </w:r>
      <w:r>
        <w:rPr>
          <w:rFonts w:ascii="Times New Roman" w:hAnsi="Times New Roman" w:cs="Times New Roman"/>
          <w:sz w:val="24"/>
          <w:szCs w:val="24"/>
        </w:rPr>
        <w:t xml:space="preserve">. В случае поставки Товара, не обусловленного настоящим </w:t>
      </w: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оговором, либо поставки Товара по цене, превышающей согласованную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торонами, Пок</w:t>
      </w:r>
      <w:r>
        <w:rPr>
          <w:rFonts w:ascii="Times New Roman" w:hAnsi="Times New Roman" w:cs="Times New Roman"/>
          <w:sz w:val="24"/>
          <w:szCs w:val="24"/>
        </w:rPr>
        <w:t xml:space="preserve">упатель вправе отказаться от поставленного Товара, приняв его на ответственное хранение и незамедлительно уведомить Поставщика о несоответствии для принятия мер по распоряжению Товаром. Все затраты, связанные с хранением, отправкой (продажей) Товара</w:t>
      </w:r>
      <w:r>
        <w:rPr>
          <w:rFonts w:ascii="Times New Roman" w:hAnsi="Times New Roman" w:cs="Times New Roman"/>
          <w:sz w:val="24"/>
          <w:szCs w:val="24"/>
        </w:rPr>
        <w:t xml:space="preserve"> возмещает Поставщик.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3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.13.</w:t>
        <w:tab/>
        <w:t xml:space="preserve">Поставщик не вправе произвести замену страны происхождения Товара, за исключением случая, когда в результате такой замены вместо иностранного Товара поставляется российский Товар, при этом качество, технические и функциональные характеристики (потреби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тельские свойства) такого Товара не должны уступать качеству и соответствующим техническим и функциональным характеристикам Товара, указанным в Договоре.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4.</w:t>
        <w:tab/>
        <w:t xml:space="preserve">Порядок и условия приемки Товара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Приемка и оценка качества Товара осуществляется Покупателем в соответствии с Инструкцией Госарбитража при Совете Министров СССР от 15.06.1965 № П-6 и Инструкцией Госарбитража при Совете Министров СССР от 25.04.1966 № П-7 в их последних редакциях, в час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ти не урегулированной Договором и не противоречащей действующему законодательству Российской Федерации.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Приемка и оценка качества Товара осуществляется в полном соответствии с обязательными требованиями, предъявляемыми к качеству поставляемого Товара. Поставляемый Товар должен соответствовать нормативным значениям показателей качества для свежего масла и бы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ть не восстановленном. Товар должен соответствовать техническому регламенту Таможенного союза ТР ТС - 030 - 2012 «О  требованиях к смазочным материалам, маслам и специальным жидкостям».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Покупатель обязан проверить количество и качество принятого Товара, проверить соответствие Товара сведениям, указанным в транспортных и сопроводительных документах, а также принять Товар от транспортной организации с соблюдением законов, правил и иных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правовых актов, регулирующих деятельность транспорта.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4.3.</w:t>
        <w:tab/>
        <w:t xml:space="preserve">Приемка Товара производится Покупателем в одностороннем порядке в полном соответствии с обязательными требованиями, предъявляемыми к качеству поставляемого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В случае обнаружения внутри тары и упаковки недопоставки, недостатков, несоответствий Товара, Покупатель вправе приостановить приемку Товара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 уведомить об этом Поставщика.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оставщик обязан своими силами и за свой счет устранить выявленные недостатки, несоответствия Товара, в том числе путем его замены на новый, в течение 10 (десяти) календарных дней со дня составления Сторонами двустороннего акта, если иной спо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соб и сроки не согласованы Сторонами. После устранения недостатков, несоответствий Товара его приемка осуществляется в соответствии с настоящим разделом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В случае неисполнения Поставщиком обязательств по устранению выявленных недостатков, несоответствий Товара в порядке, предусмотренном пунктом 4.4 Договора, Покупатель вправе отказаться от приемки Товара, направив соответствующее письмен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ное уведомление Поставщику.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Если Покупатель отказывается от переданного Поставщиком Товара, он обязан незамедлительно письменно уведомить Поставщика о выявленных несоответствиях или недостатках Товара и обеспечить сохранность Товара (ответственное хранение). Вызов представителя 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оставщика для участия в продолжении приемки Товара и составлении двустороннего акта необязателен.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.7.</w:t>
        <w:tab/>
        <w:t xml:space="preserve">Поставщик обязан вывезти Товар, принятый Покупателем (Грузополучателем) на ответственное хранение, или распорядиться им в течение 2 (двух) суток. Если Поставщик в этот срок не распорядится Товаром, Покупатель вправе реализовать его или возвратить Поста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щику. Расходы, понесенные Покупателем в связи с принятием Товара на ответственное хранение, его реализацией или возвратом Поставщику, подлежат возмещению Поставщиком. При этом вырученное от реализации Товара передается Поставщику за вычетом причитающегося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Покупателю.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.8.</w:t>
        <w:tab/>
        <w:t xml:space="preserve">Покупатель вправе не производить любые платежи, предусмотренные Договором, до исполнения Поставщиком своих обязательств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5.</w:t>
        <w:tab/>
        <w:t xml:space="preserve">Гарантийный срок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5.1.</w:t>
        <w:tab/>
        <w:t xml:space="preserve">Гарантийный срок на Товар, поставленный по Договору, составляет: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менее 12 (двенадцати) календарных месяцев с даты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подписания Покупателем (грузополучателем) товарной накладной по форме ТОРГ-12 (или УПД)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если более длительный срок не предусмотрен технической документацией на Товар. Гарантийный срок может быть продлен в соответстви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 с условиями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В течение Гарантийного срока Поставщик гарантирует соответствие качества Товара требованиям Договора, паспорта и иных документов, относящихся к Товару, и Применимого права, возможность эксплуатации (использования) Товара в соответствии с 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целевым назначением, а также несет безусловную ответственность за обнаруженные недостатки, несоответствия  Товара, если не докажет, что такие недостатки, несоответствия явились следствием несоблюдения Покупателем требований 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использованию Товара, установленных в инструкциях и иных документах, переданных Покупателю в соответствии с пунктом 3.5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случае обнаружения в течение Гарантийного срока недостатков, несоответствий Товара Покупатель направляет Поставщику соответствующее письменное уведомление, в котором указывает перечень выявленных недостатков Товара и разу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ный срок на их устранение. Поставщик, в случае наличия разногласий, в течение 3 (трех) рабочих дней с даты получения письменного уведомления Покупателя, направляет своего уполномоченного представителя для составления Акта о недостатках, несоответствиях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Если к указанному в настоящем пункте сроку представитель Поставщика не прибудет, Акт о недостатках, несоответствиях будет составлен Покупателем в одностороннем порядке и будет признан Сторонами действительным.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Поставщик обязан своими силами и за свой счет устранить недостатки, несоответствия Товара, обнаруженные Покупателем в течение Гарантийного срока, в срок, указанный Покупателем в соответствии с пунктом 5.3 Договора, путем замены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Товара.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Поставщик вправе по согласованию с Покупателем вместо замены Товара возвратить Покупателю его стоимость. Вывоз Товара для целей устранения нед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остатков осуществляется силами Поставщика и за его счет.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Если Поставщик не устранит недостатки Товара в установленный Покупателем срок, Покупатель вправе устранить их собственными силами или силами третьих лиц, с отнесением на Поставщика соответствующих расходов. Поставщик обязан возместить расходы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Покупателя на устранение недостатков, несоответствий  Товара в течение 10 (десяти) рабочих дней с даты получения соответствующего письменного требования Покупателя.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Гарантийный срок на Товар увеличивается на тот период времени, в течение которого Покупатель не мог эксплуатировать (использовать) Товар вследствие его недостатков. Гарантийный срок на замененную единицу Товара устанавл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ивается продолжительностью, указанной в пункте 5.1 Договора, и начинает исчисляться заново с даты приемки Покупателем замененной единицы Товара или работ по устранению недостатков.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.7.</w:t>
        <w:tab/>
        <w:t xml:space="preserve">Устранение недостатков, несоответствий Товара или возврат его стоимости, в том числе в рамках срока, установленного в соответствии с пунктом 5.3 Договора, не освобождает Поставщика от обязанности возмещения убытков, причиненных Покупат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елю вследствие наличия таких недостатков.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</w:pPr>
      <w:r/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6.</w:t>
        <w:tab/>
        <w:t xml:space="preserve">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освобождают Стороны от ответстве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.2.</w:t>
        <w:tab/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случае нарушения Покупателем сроков оплаты поставленной продукции, Поставщик вправе потребовать уплаты Покупателем исключительной неустойки в размере 0,1 (ноль целых и одна десятая) процента от несвоевременно оплаченной суммы за каждый день просрочки, нач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иная с 31 (тридцать первого) календарного дня просрочки (неустойка с 1 по 30 день просрочки не начисляется).</w:t>
      </w:r>
      <w:r>
        <w:rPr>
          <w:highlight w:val="white"/>
        </w:rPr>
      </w:r>
      <w:r>
        <w:rPr>
          <w:highlight w:val="white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  <w:rPr>
          <w:rFonts w:ascii="Times New Roman" w:hAnsi="Times New Roman" w:cs="Times New Roman"/>
          <w:color w:val="auto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  <w:t xml:space="preserve">6.3.</w:t>
        <w:tab/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  <w:t xml:space="preserve">В случае нарушения Поставщиком обязательств по поставке продукции (нарушение срока поставки, недопоставка), Покупатель вправе потребовать уплаты Поставщиком неустойки в размере 0,1 (ноль целых и одна десятая) процента от цены </w:t>
      </w:r>
      <w:r>
        <w:rPr>
          <w:rFonts w:ascii="Times New Roman" w:hAnsi="Times New Roman" w:eastAsia="Times New Roman" w:cs="Times New Roman"/>
          <w:bCs/>
          <w:color w:val="auto"/>
          <w:sz w:val="24"/>
          <w:szCs w:val="24"/>
          <w:highlight w:val="white"/>
        </w:rPr>
        <w:t xml:space="preserve">Договора</w:t>
      </w:r>
      <w:r>
        <w:rPr>
          <w:rFonts w:ascii="Times New Roman" w:hAnsi="Times New Roman" w:eastAsia="Times New Roman" w:cs="Times New Roman"/>
          <w:bCs/>
          <w:color w:val="auto"/>
          <w:sz w:val="24"/>
          <w:szCs w:val="24"/>
          <w:highlight w:val="white"/>
        </w:rPr>
        <w:t xml:space="preserve"> за каждый день просрочки</w:t>
      </w:r>
      <w:r>
        <w:rPr>
          <w:rFonts w:ascii="Times New Roman" w:hAnsi="Times New Roman" w:eastAsia="Times New Roman" w:cs="Times New Roman"/>
          <w:bCs/>
          <w:color w:val="auto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  <w:rPr>
          <w:rFonts w:ascii="Times New Roman" w:hAnsi="Times New Roman" w:cs="Times New Roman"/>
          <w:color w:val="auto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  <w:t xml:space="preserve"> случае несвоевременного устранения Поставщиком выявленных недостатков продукции, Покупатель вправе потребовать уплаты Поставщиком неустойки в размере 0,1 (ноль целых и одна десятая) процента от цены некачественной продукции за каждый день просрочки.     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  <w:t xml:space="preserve">        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  <w:rPr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 xml:space="preserve">6.4.</w:t>
        <w:tab/>
        <w:t xml:space="preserve">В случае поступления Товара, не соответствующего сведениям о стране происхождения Товара, согласованной в Договоре, Покупатель вправе взыскать с Поставщика штраф в размере 10% от стоимости поставленного Товара, не соответствующего сведениям.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 xml:space="preserve">.5.</w:t>
        <w:tab/>
        <w:t xml:space="preserve">Если в результате составления и выставления Поставщиком счетов-фактур/ или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УПД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по такому осно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анию сумм налога на добавленную стоимость, пеней и налоговых санкций, Поставщик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троля. Сумма расходов компенсируется Поставщиком в течение 10 (десяти) рабочих дней с даты получения соответствующего письменного требования Покупателя.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нарушения Поставщиком сроков предоставления счетов-фактур/ или УПД, установленных пунктом 2.7 Договора, Покупатель вправе требовать уплаты Поставщиком штрафа в размере 50 000 (Пятидесяти тысяч) рублей за каждый случай нарушения.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6.6.</w:t>
        <w:tab/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6.7.</w:t>
        <w:tab/>
        <w:t xml:space="preserve">Уплата неустойки и/ или штрафа не освобождает 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.8.</w:t>
        <w:tab/>
        <w:t xml:space="preserve">Учитывая, что для Покупателя надлежащее и своевременное выполнение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бо ненадлежащего исполнения Поставщиком соответствующих обязательств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.9.</w:t>
        <w:tab/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.10.</w:t>
        <w:tab/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нарушения Поставщиком обязательств по поставке Товара на срок свыше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60 (шестьдесят)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кже вправе возвратить Поставщику Товар, ранее принятый по Договору, и потребовать возврата уплаченных денежных средств.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.11.</w:t>
        <w:tab/>
        <w:t xml:space="preserve">За непредставлен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ие либо несвоевременное предоставление / переоформление Поставщиком банковских / независимых гарантий, предусмотренных Договором, в соответствии с Приложениями № 3, 3.1, 3.2 к настоящему Договору, Покупатель  вправе потребовать уплаты Поставщиком неустойки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 размере 0,03 (ноль целых и три сотых) процента от цены Договора за каждый день просрочки.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7.</w:t>
        <w:tab/>
        <w:t xml:space="preserve">Антикоррупционная оговорка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предлагали и не разрешали выплату денежных средств,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оказан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 целей Договора правом как дача или получение взятки, коммерческий под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Соответствующее подтвер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ждение должно быть направлено другой Стороной в течение 5 (пяти) рабочих дней с даты получения письменного уведомления.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ситуаций. Стороны га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итогах рассмотрения уведомления о нарушении, другая Сторона имеет право отказаться от Договора в одностороннем 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</w:t>
        <w:tab/>
        <w:t xml:space="preserve">Каналы связи Линия доверия Группы РусГидро: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7.7.1.</w:t>
        <w:tab/>
        <w:t xml:space="preserve">Электронная почта: ld@rushydro.ru;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7.7.2.</w:t>
        <w:tab/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7.7.3.</w:t>
        <w:tab/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  <w:t xml:space="preserve">8.</w:t>
        <w:tab/>
        <w:t xml:space="preserve">Обстоятельства непреодолимой силы (форс-мажор)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тв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8.2.</w:t>
        <w:tab/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Надлежащим (достаточным) доказательством наличия/ возникновения и продолжительности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рона ссылается в качестве обстоятельств непреодолимой силы (форс-мажора).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ение обязательств по Договору.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9.</w:t>
        <w:tab/>
        <w:t xml:space="preserve">Особые положения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Поставщик обязуется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2.10.2006 № 53 «Об оценке арбитражными судами обоснованности получения налогоплательщиком налоговой выгоды», постановлениями Президиума ВАС РФ от 20.04.2010 № 18162/09 и от 25.05.2010 № 15658/09, согласно которым при оценке необоснованной налоговой выгоды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ствующие Критериям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пункте 9.1 Договора, а также обеспечить прекращение участия таких организаций в исполне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нии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случае нарушения Поставщиком обязательств, установленных пунктами 9.1, 9.2 Договора, Покупатель в дополнение к основаниям, предусмотренным Договором, вправе в одностороннем внесудебном порядке отказаться от Договора путем направления уведомления об 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казе от Договора (исполнения Договора) с указанием даты прекращения (расторжения) Договора, которая должна наступать ранее 10 (десяти) рабочих дней с даты получения Поставщиком такого уведомления. Договор считается прекращенным (расторгнутым) с даты, указа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ной в уведомлении об отказе от Договора (исполнения Договора) при условии, что Покупатель не отзовет указанное Уведомление по итогам рассмотрения мотивированных письменных возражений Поставщика, представленных до наступления указанной Покупателем даты раст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оржения.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Поставщик обязан уплатить Покупателю штраф в размере суммы денежных средств, перечисленной организации, отвечающей признакам недобросовестности, а также дополнительно компенсировать Покупателю убытки, причиненные в результате нарушения обязательств, ус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тановленных пунктами 9.1, 9.2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Штраф, предусмотренный пунктом 9.4 Договора, оплачивается Поставщиком в течение 10 (десяти) рабочих дней с даты получения соответствующего письменного требования Покупателя. Покупатель вправе предъявить требование об уплате штрафа вне зависимости от на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правления уведомления об отказе от Договора (исполнения Договора), предусмотренного пунктом 9.3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Покупатель вправе приостановить осуществление любых платежей по Договору, причитающихся Поставщику, независимо от наличия оснований и наступления сроков таких платежей, до уплаты Поставщиком штрафа, предусмотренного пунктом 9.4 Договора. При этом Покуп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атель не будет считаться просрочившим и/ или нарушившим свои обязательства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9.7.</w:t>
        <w:tab/>
        <w:t xml:space="preserve">Независимо от других положений Договора, положения пунктов 9.4, 9.5 Договора продолжают действовать в течение 4 (четырех) лет после его прекращения (расторжения) или исполнения.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10.</w:t>
        <w:tab/>
        <w:t xml:space="preserve">Заверения Сторон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10.1.</w:t>
        <w:tab/>
        <w:t xml:space="preserve">Каждая из Сторон заявляет и подтверждает другой Стороне, что: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является юридическим лицом/ индивидуальным предпринимателем,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она получила все корпоративные одобрения Договора органами управления 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и иных лиц, необходимые дл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я заключения и исполнения Договора;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лица, подписывающие от имени Сторон Договор, надлежащим образом уполномочены на его подписание;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10.2.</w:t>
        <w:tab/>
        <w:t xml:space="preserve">Поставщик заявляет и заверяет Покупателя в том, что на момент заключения Договора: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учредителем/ учредителями Поставщика являются лица, не являющиеся массовыми учредителем/ учредителями;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руководителем Поставщика является лицо, не являющееся массовым руководителем;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фактически находится по адресу, указанному в Едином государственном реестре юридических лиц;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своевременно и в полном объеме уплачивает налоги и сборы в соответствии с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Поставщик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государственной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власти и должностных лиц, иные обстоятельства способные повлиять на возможность Поставщика должным образом исполнять обязательства, возникающие из Договору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Поставщик тщательно изучил всю информацию, связанную с Договором, в том числе по вопросам, влияющим на сроки, стоимость и качество Товара, полностью ознакомлен со всеми условиями поставки Товара, и принимает на себя все расходы, риски и трудности исполнен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обязательств, возникающих из Договора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вся информация, предоставленная Покупателю, является достоверной, полной и точной, и Поставщик не скрыл никаких обстоятельств, которые при их обнаружении могли бы негативно повлиять на решение Покупателя заключить Договор на указанных в нем условиях.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10.3.</w:t>
        <w:tab/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0.4.</w:t>
        <w:tab/>
        <w:t xml:space="preserve">В случае, если Поставщик при заключении Договора предоставил Покупателю недостоверные заверения о любом из указанных в настоящем разделе Договора обстоятельств, имеющих существенное значение для заключения и исполнения Договора, Поставщик обязан по пи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сьменному требованию Покупателя уплатить последнему штраф в размере 5 (пяти) процентов от Цены Договора, указанной в пункте 2.1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0.5.</w:t>
        <w:tab/>
        <w:t xml:space="preserve">Недостоверность, неточность или неполнота любых указанных в настоящем разделе Договора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0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11.</w:t>
        <w:tab/>
        <w:t xml:space="preserve">Прекращение (расторжение) Договора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1.1.</w:t>
        <w:tab/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13.7 Договора, с приложением подписанного согла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шения о расторжении Договора. Уведомление должно быть рассмотрено Стороной–получателем в течение 30 (тридцати) календарных дней со дня его получения.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1.2.</w:t>
        <w:tab/>
        <w:t xml:space="preserve">Покупатель вправе в одностороннем внесудебном порядке отказаться от Договора при условии обязательного направления письменного уведомления об этом Поставщику не позднее чем за 30 (тридцать) календарных дней до предполагаемой даты расторжения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 этом случае Договор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11.3.</w:t>
        <w:tab/>
        <w:t xml:space="preserve">В случае существенного нарушения Договора Поставщиком Покупатель вправе в одностороннем внесудебном порядке отказаться от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Стороны установили, что существенным нарушением Договора Поставщиком является: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нарушение Поставщиком общего срока поставки Товара по Договору, а также  сроков поставки Товара (партий Товара), более чем на 60 (шестьдесят) календарных дней по причинам, не зависящим от Покупателя;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несоблюдение Поставщиком требований к качеству Товара, если исправление выявленных Покупателем недостатков Товара влечет нарушение сроков поставки Товара более чем на 60 (шестьдесят) календарных дней, либо такие недостатки являются не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устранимыми;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наложение ареста на имущество Поставщика, введение арбитражным судом процедуры несостоятельности (банкротства) в отношении Поставщика;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установление в ходе исполнения Договора фактов несоответствия Поставщика установленным документацией о закупке требованиям к участникам закупки и/ или предоставления недостоверной информации о своем соответствии таким требованиям, а также недостоверности,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неточности или неполноты заверений Поставщика об обстоятельствах, указанных в разделе 10 Договора, и имеющих существенное значение для его заключения и исполнения.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1.4.</w:t>
        <w:tab/>
        <w:t xml:space="preserve">В случае отказа Покупателя от Договора в случаях, предусмотренных пунктами 11.2, 11.3 Договора, последний считается прекращенным (расторгнутым) со дня, следующего за днем получения Поставщиком уведомления Покупателя об отказе от Договора (исполнения 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оговора).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11.5.</w:t>
        <w:tab/>
        <w:t xml:space="preserve">С даты прекращения (расторжения) Договора Поставщик обязан прекратить поставку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1.6.</w:t>
        <w:tab/>
        <w:t xml:space="preserve">При прекращении (расторжении) Договора по основаниям, указанным в настоящем разделе Договора, все обязательства Сторон по Договору считаются прекратившимися, за исключением обязательств по незавершенным расчетам, гарантийным обязательствам Поставщика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соответствии с разделом 5 Договора, а также обязательств Поставщика по оплате неустойки, штрафов, возмещению убытков в случаях и размерах, предусмотренных Договором.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12.</w:t>
        <w:tab/>
        <w:t xml:space="preserve">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12.1.</w:t>
        <w:tab/>
        <w:t xml:space="preserve">Все споры, разногласия и требования, возникающие между Сторонами из Договора или в связи с ним, в том числе связанные с его исполнением, изменением, прекращением (расторжением) и/ или действительностью, разрешаются путем переговоров.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12.2.</w:t>
        <w:tab/>
        <w:t xml:space="preserve">Споры, указанные в пункте 12.1 Договора, которые не были урегулированы Сторонами путем переговоров, подлежат разрешению в Арбитражном суде Хабаровского края в соответствии с законодательством Российской Федерации.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2.3.</w:t>
        <w:tab/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предусмотренном пунктом 13.7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12.4.</w:t>
        <w:tab/>
        <w:t xml:space="preserve">Срок для рассмотрения претензии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12.5.</w:t>
        <w:tab/>
        <w:t xml:space="preserve">Условия настоящего раздела сохраняют свою силу в случае признания Договора незаключенным и/ или недействительным.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/>
      <w:r/>
    </w:p>
    <w:p>
      <w:pPr>
        <w:pStyle w:val="875"/>
        <w:ind w:left="0" w:right="0" w:firstLine="567"/>
        <w:jc w:val="both"/>
      </w:pPr>
      <w:r/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13.</w:t>
        <w:tab/>
        <w:t xml:space="preserve">Заключительные положения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13.1.</w:t>
        <w:tab/>
        <w:t xml:space="preserve">Договор вступает в силу с даты его подписания Сторонами и действует по __________________, а в части не исполненных обязательств - до полного их исполнения Сторонами.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3.2.</w:t>
        <w:tab/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ктом 13.6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13.3.</w:t>
        <w:tab/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13.4.</w:t>
        <w:tab/>
        <w:t xml:space="preserve">В случае наличия любых расхождений между содержанием Договора и приложений к нему, приоритет имеет текст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3.5.</w:t>
        <w:tab/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предусмотренном пунктом 13.7 Договора. Использование средств факсимильной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13.6.</w:t>
        <w:tab/>
        <w:t xml:space="preserve">Стороны обязуются уведомлять друг друга об изменении адреса и/ или реквизитов, указанных в разделе 15 Договора, не позднее 3 (трех) рабочих дней после такого изменения в порядке, установленном пунктом 13.7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13.7.</w:t>
        <w:tab/>
        <w:t xml:space="preserve">Письма, уведомления и/ или сообщения направляются Стороне-получателю следующими способами: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3.7.1.</w:t>
        <w:tab/>
        <w:t xml:space="preserve">Заказным почтовым отправлением с уведомлением о вручении по адресу ее места нахождения/ почтовому адресу, указанному в разделе 15 Договора, или в ранее полученном уведомлении Стороны об изменении адреса – в дату фактического вручения почтового отпра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3.7.2.</w:t>
        <w:tab/>
        <w:t xml:space="preserve">Доставкой лично или курьером Стороны-отправителя по адресу ее места нахождения/ почтовому адресу, указанному в разделе 15 Договора, или в ранее полученном уведомлении Стороны об изменении адреса – в дату и время фактического приема уведомления Сторо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ной-получателем с отметкой о получении;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13.7.3.</w:t>
        <w:tab/>
        <w:t xml:space="preserve">Посредством электронной почты (e-mail) – в дату направления электронного сообщения, зафиксированную на почтовом сервере отправителя.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13.7.1 – 13.7.2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3.8.</w:t>
        <w:tab/>
        <w:t xml:space="preserve">Во избежание сомнений, кроме случаев, когда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возможности реализовать это право в будущем.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13.9.</w:t>
        <w:tab/>
        <w:t xml:space="preserve">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3.10.</w:t>
        <w:tab/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: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//www.diadoc.ru/). В случае использования Поставщиком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операторов, инициирует настройку роуминга между опер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аторами систем электронного документооборота Сторон.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13.11.</w:t>
        <w:tab/>
        <w:t xml:space="preserve">Во всем остальном, что не урегулировано Договором, Стороны руководствуются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6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13.12.</w:t>
        <w:tab/>
      </w:r>
      <w:r>
        <w:rPr>
          <w:rFonts w:ascii="Times New Roman" w:hAnsi="Times New Roman" w:cs="Times New Roman"/>
          <w:sz w:val="24"/>
          <w:szCs w:val="24"/>
        </w:rPr>
        <w:t xml:space="preserve">Настоящий 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(далее – УКЭП) </w:t>
      </w:r>
      <w:r>
        <w:rPr>
          <w:rFonts w:ascii="Times New Roman" w:hAnsi="Times New Roman" w:cs="Times New Roman"/>
          <w:sz w:val="24"/>
          <w:szCs w:val="24"/>
        </w:rPr>
        <w:t xml:space="preserve"> уполномоченных представителей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6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14.</w:t>
        <w:tab/>
        <w:t xml:space="preserve">Список приложений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75"/>
        <w:ind w:left="0" w:right="0" w:firstLine="56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1 – Спецификация;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2 -  Условия 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езависимой гарантии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2.1 -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Независимая гарантия (типовая форма)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75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2.2 –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Требования по уплате денежных средств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7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3 - Форма акта приемки независимой  гарантии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6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6"/>
        <w:ind w:left="0" w:righ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15. </w:t>
      </w:r>
      <w:r>
        <w:rPr>
          <w:rFonts w:ascii="Times New Roman" w:hAnsi="Times New Roman" w:cs="Times New Roman"/>
          <w:b/>
          <w:bCs/>
        </w:rPr>
        <w:t xml:space="preserve">Местонахождение и банковские реквизиты сторон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76"/>
        <w:ind w:left="0" w:right="0"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tbl>
      <w:tblPr>
        <w:tblW w:w="9682" w:type="dxa"/>
        <w:tblLook w:val="0000" w:firstRow="0" w:lastRow="0" w:firstColumn="0" w:lastColumn="0" w:noHBand="0" w:noVBand="0"/>
      </w:tblPr>
      <w:tblGrid>
        <w:gridCol w:w="4753"/>
        <w:gridCol w:w="4929"/>
      </w:tblGrid>
      <w:tr>
        <w:tblPrEx/>
        <w:trPr>
          <w:trHeight w:val="300"/>
        </w:trPr>
        <w:tc>
          <w:tcPr>
            <w:tcW w:w="4753" w:type="dxa"/>
            <w:textDirection w:val="lrTb"/>
            <w:noWrap w:val="false"/>
          </w:tcPr>
          <w:p>
            <w:pPr>
              <w:pStyle w:val="870"/>
              <w:ind w:left="0" w:right="0" w:firstLine="567"/>
            </w:pPr>
            <w:r>
              <w:t xml:space="preserve">Покупатель: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76"/>
              <w:ind w:left="0" w:right="0" w:firstLine="56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Поставщик: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6"/>
              <w:ind w:left="0" w:right="0"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300"/>
        </w:trPr>
        <w:tc>
          <w:tcPr>
            <w:tcW w:w="4753" w:type="dxa"/>
            <w:textDirection w:val="lrTb"/>
            <w:noWrap w:val="false"/>
          </w:tcPr>
          <w:p>
            <w:pPr>
              <w:pStyle w:val="870"/>
              <w:ind w:left="0" w:right="0" w:firstLine="567"/>
            </w:pPr>
            <w:r>
              <w:t xml:space="preserve">АО «ДГК»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76"/>
              <w:ind w:left="0" w:right="0"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3435"/>
        </w:trPr>
        <w:tc>
          <w:tcPr>
            <w:tcW w:w="4753" w:type="dxa"/>
            <w:textDirection w:val="lrTb"/>
            <w:noWrap w:val="false"/>
          </w:tcPr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Место нахождения: Российская Федерация, </w:t>
            </w:r>
            <w:r>
              <w:rPr>
                <w:rFonts w:ascii="Times New Roman" w:hAnsi="Times New Roman" w:cs="Times New Roman"/>
              </w:rPr>
              <w:t xml:space="preserve">г. Хабаровск.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Адрес: 680000, Хабаровский край,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г. Хабаровск, Фрунзе, 49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ИНН 1434031363, КПП 997650001,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ОКПО 76727851, БИК 040813608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Дальневосточный Банк </w:t>
            </w:r>
            <w:r>
              <w:rPr>
                <w:rFonts w:ascii="Times New Roman" w:hAnsi="Times New Roman" w:cs="Times New Roman"/>
              </w:rPr>
              <w:t xml:space="preserve">ПАО </w:t>
            </w:r>
            <w:r>
              <w:rPr>
                <w:rFonts w:ascii="Times New Roman" w:hAnsi="Times New Roman" w:cs="Times New Roman"/>
              </w:rPr>
              <w:t xml:space="preserve">Сбербанка РФ  </w:t>
            </w:r>
            <w:r>
              <w:rPr>
                <w:rFonts w:ascii="Times New Roman" w:hAnsi="Times New Roman" w:cs="Times New Roman"/>
              </w:rPr>
              <w:t xml:space="preserve">г. Хабаровск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р/с 407 028 102 700 000 088 18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к/с 301 018 106 000 000 006 08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  <w:t xml:space="preserve">тел. 8(4212) </w:t>
            </w:r>
            <w:r>
              <w:rPr>
                <w:rFonts w:ascii="Times New Roman" w:hAnsi="Times New Roman" w:cs="Times New Roman"/>
              </w:rPr>
              <w:t xml:space="preserve">26-41-59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0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E-mail: ________</w:t>
            </w:r>
            <w:r>
              <w:rPr>
                <w:rFonts w:ascii="Times New Roman" w:hAnsi="Times New Roman" w:cs="Times New Roman"/>
                <w:lang w:val="en-US"/>
              </w:rPr>
              <w:t xml:space="preserve">@dgk.ru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76"/>
              <w:ind w:left="0" w:righ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6"/>
              <w:ind w:left="0" w:righ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98"/>
        </w:trPr>
        <w:tc>
          <w:tcPr>
            <w:tcW w:w="4753" w:type="dxa"/>
            <w:textDirection w:val="lrTb"/>
            <w:noWrap w:val="false"/>
          </w:tcPr>
          <w:p>
            <w:pPr>
              <w:pStyle w:val="876"/>
              <w:ind w:left="0" w:righ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</w:t>
            </w:r>
            <w:r>
              <w:rPr>
                <w:rFonts w:ascii="Times New Roman" w:hAnsi="Times New Roman" w:cs="Times New Roman"/>
              </w:rPr>
              <w:t xml:space="preserve">_ 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</w:rPr>
              <w:t xml:space="preserve">___________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76"/>
              <w:ind w:left="0" w:righ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_______________/__________/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6"/>
        <w:ind w:left="0" w:righ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first" r:id="rId9"/>
      <w:footnotePr/>
      <w:endnotePr/>
      <w:type w:val="nextPage"/>
      <w:pgSz w:w="11907" w:h="16840" w:orient="portrait"/>
      <w:pgMar w:top="571" w:right="851" w:bottom="537" w:left="1418" w:header="426" w:footer="284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/>
      </w:rPr>
    </w:lvl>
    <w:lvl w:ilvl="1">
      <w:start w:val="4"/>
      <w:numFmt w:val="decimal"/>
      <w:isLgl/>
      <w:suff w:val="tab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9"/>
      <w:numFmt w:val="decimal"/>
      <w:isLgl/>
      <w:suff w:val="tab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6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0" w:hanging="1080"/>
      </w:pPr>
      <w:rPr>
        <w:rFonts w:hint="default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pStyle w:val="890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891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color w:val="000000" w:themeColor="text1"/>
        <w:sz w:val="24"/>
        <w:szCs w:val="24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color w:val="000000" w:themeColor="text1"/>
        <w:sz w:val="24"/>
        <w:szCs w:val="24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2"/>
      <w:numFmt w:val="none"/>
      <w:isLgl w:val="false"/>
      <w:suff w:val="tab"/>
      <w:lvlText w:val="2.10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1429" w:hanging="360"/>
      </w:pPr>
      <w:rPr>
        <w:rFonts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1 Char"/>
    <w:basedOn w:val="871"/>
    <w:link w:val="870"/>
    <w:uiPriority w:val="9"/>
    <w:rPr>
      <w:rFonts w:ascii="Arial" w:hAnsi="Arial" w:eastAsia="Arial" w:cs="Arial"/>
      <w:sz w:val="40"/>
      <w:szCs w:val="40"/>
    </w:rPr>
  </w:style>
  <w:style w:type="paragraph" w:styleId="701">
    <w:name w:val="Heading 2"/>
    <w:basedOn w:val="869"/>
    <w:next w:val="869"/>
    <w:link w:val="7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2">
    <w:name w:val="Heading 2 Char"/>
    <w:basedOn w:val="871"/>
    <w:link w:val="701"/>
    <w:uiPriority w:val="9"/>
    <w:rPr>
      <w:rFonts w:ascii="Arial" w:hAnsi="Arial" w:eastAsia="Arial" w:cs="Arial"/>
      <w:sz w:val="34"/>
    </w:rPr>
  </w:style>
  <w:style w:type="paragraph" w:styleId="703">
    <w:name w:val="Heading 3"/>
    <w:basedOn w:val="869"/>
    <w:next w:val="869"/>
    <w:link w:val="7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4">
    <w:name w:val="Heading 3 Char"/>
    <w:basedOn w:val="871"/>
    <w:link w:val="703"/>
    <w:uiPriority w:val="9"/>
    <w:rPr>
      <w:rFonts w:ascii="Arial" w:hAnsi="Arial" w:eastAsia="Arial" w:cs="Arial"/>
      <w:sz w:val="30"/>
      <w:szCs w:val="30"/>
    </w:rPr>
  </w:style>
  <w:style w:type="paragraph" w:styleId="705">
    <w:name w:val="Heading 4"/>
    <w:basedOn w:val="869"/>
    <w:next w:val="869"/>
    <w:link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6">
    <w:name w:val="Heading 4 Char"/>
    <w:basedOn w:val="87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869"/>
    <w:next w:val="869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8">
    <w:name w:val="Heading 5 Char"/>
    <w:basedOn w:val="871"/>
    <w:link w:val="707"/>
    <w:uiPriority w:val="9"/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869"/>
    <w:next w:val="869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0">
    <w:name w:val="Heading 6 Char"/>
    <w:basedOn w:val="871"/>
    <w:link w:val="709"/>
    <w:uiPriority w:val="9"/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869"/>
    <w:next w:val="869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2">
    <w:name w:val="Heading 7 Char"/>
    <w:basedOn w:val="871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69"/>
    <w:next w:val="869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basedOn w:val="871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69"/>
    <w:next w:val="869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basedOn w:val="871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Title"/>
    <w:basedOn w:val="869"/>
    <w:next w:val="869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>
    <w:name w:val="Title Char"/>
    <w:basedOn w:val="871"/>
    <w:link w:val="717"/>
    <w:uiPriority w:val="10"/>
    <w:rPr>
      <w:sz w:val="48"/>
      <w:szCs w:val="48"/>
    </w:rPr>
  </w:style>
  <w:style w:type="paragraph" w:styleId="719">
    <w:name w:val="Subtitle"/>
    <w:basedOn w:val="869"/>
    <w:next w:val="869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>
    <w:name w:val="Subtitle Char"/>
    <w:basedOn w:val="871"/>
    <w:link w:val="719"/>
    <w:uiPriority w:val="11"/>
    <w:rPr>
      <w:sz w:val="24"/>
      <w:szCs w:val="24"/>
    </w:rPr>
  </w:style>
  <w:style w:type="paragraph" w:styleId="721">
    <w:name w:val="Quote"/>
    <w:basedOn w:val="869"/>
    <w:next w:val="869"/>
    <w:link w:val="722"/>
    <w:uiPriority w:val="29"/>
    <w:qFormat/>
    <w:pPr>
      <w:ind w:left="720" w:right="720"/>
    </w:pPr>
    <w:rPr>
      <w:i/>
    </w:r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basedOn w:val="869"/>
    <w:next w:val="869"/>
    <w:link w:val="72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>
    <w:name w:val="Intense Quote Char"/>
    <w:link w:val="723"/>
    <w:uiPriority w:val="30"/>
    <w:rPr>
      <w:i/>
    </w:rPr>
  </w:style>
  <w:style w:type="character" w:styleId="725">
    <w:name w:val="Header Char"/>
    <w:basedOn w:val="871"/>
    <w:link w:val="886"/>
    <w:uiPriority w:val="99"/>
  </w:style>
  <w:style w:type="character" w:styleId="726">
    <w:name w:val="Footer Char"/>
    <w:basedOn w:val="871"/>
    <w:link w:val="884"/>
    <w:uiPriority w:val="99"/>
  </w:style>
  <w:style w:type="paragraph" w:styleId="727">
    <w:name w:val="Caption"/>
    <w:basedOn w:val="869"/>
    <w:next w:val="869"/>
    <w:link w:val="7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884"/>
    <w:uiPriority w:val="99"/>
  </w:style>
  <w:style w:type="table" w:styleId="729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8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9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0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1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2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3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5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6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7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8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9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0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2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6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Footnote Text Char"/>
    <w:link w:val="880"/>
    <w:uiPriority w:val="99"/>
    <w:rPr>
      <w:sz w:val="18"/>
    </w:rPr>
  </w:style>
  <w:style w:type="paragraph" w:styleId="855">
    <w:name w:val="endnote text"/>
    <w:basedOn w:val="86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>
    <w:name w:val="Endnote Text Char"/>
    <w:link w:val="855"/>
    <w:uiPriority w:val="99"/>
    <w:rPr>
      <w:sz w:val="20"/>
    </w:rPr>
  </w:style>
  <w:style w:type="character" w:styleId="857">
    <w:name w:val="endnote reference"/>
    <w:basedOn w:val="871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qFormat/>
    <w:rPr>
      <w:sz w:val="24"/>
    </w:rPr>
  </w:style>
  <w:style w:type="paragraph" w:styleId="870">
    <w:name w:val="Heading 1"/>
    <w:basedOn w:val="869"/>
    <w:next w:val="869"/>
    <w:link w:val="897"/>
    <w:uiPriority w:val="9"/>
    <w:qFormat/>
    <w:pPr>
      <w:jc w:val="center"/>
      <w:keepNext/>
      <w:outlineLvl w:val="0"/>
    </w:pPr>
    <w:rPr>
      <w:b/>
      <w:szCs w:val="24"/>
    </w:rPr>
  </w:style>
  <w:style w:type="character" w:styleId="871" w:default="1">
    <w:name w:val="Default Paragraph Font"/>
    <w:uiPriority w:val="1"/>
    <w:semiHidden/>
    <w:unhideWhenUsed/>
  </w:style>
  <w:style w:type="table" w:styleId="8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3" w:default="1">
    <w:name w:val="No List"/>
    <w:uiPriority w:val="99"/>
    <w:semiHidden/>
    <w:unhideWhenUsed/>
  </w:style>
  <w:style w:type="paragraph" w:styleId="874" w:customStyle="1">
    <w:name w:val="ConsTitle"/>
    <w:rPr>
      <w:rFonts w:ascii="Arial" w:hAnsi="Arial" w:cs="Arial"/>
      <w:b/>
      <w:bCs/>
      <w:sz w:val="16"/>
      <w:szCs w:val="16"/>
    </w:rPr>
  </w:style>
  <w:style w:type="paragraph" w:styleId="875" w:customStyle="1">
    <w:name w:val="ConsNonformat"/>
    <w:rPr>
      <w:rFonts w:ascii="Courier New" w:hAnsi="Courier New" w:cs="Courier New"/>
    </w:rPr>
  </w:style>
  <w:style w:type="paragraph" w:styleId="876" w:customStyle="1">
    <w:name w:val="ConsNormal"/>
    <w:link w:val="888"/>
    <w:pPr>
      <w:ind w:firstLine="720"/>
    </w:pPr>
    <w:rPr>
      <w:rFonts w:ascii="Arial" w:hAnsi="Arial" w:cs="Arial"/>
      <w:sz w:val="24"/>
      <w:szCs w:val="24"/>
    </w:rPr>
  </w:style>
  <w:style w:type="paragraph" w:styleId="877" w:customStyle="1">
    <w:name w:val="ConsCell"/>
    <w:rPr>
      <w:rFonts w:ascii="Arial" w:hAnsi="Arial" w:cs="Arial"/>
      <w:sz w:val="24"/>
      <w:szCs w:val="24"/>
    </w:rPr>
  </w:style>
  <w:style w:type="paragraph" w:styleId="878">
    <w:name w:val="Body Text Indent"/>
    <w:basedOn w:val="869"/>
    <w:semiHidden/>
    <w:pPr>
      <w:ind w:firstLine="720"/>
      <w:jc w:val="both"/>
    </w:pPr>
    <w:rPr>
      <w:sz w:val="28"/>
    </w:rPr>
  </w:style>
  <w:style w:type="paragraph" w:styleId="879">
    <w:name w:val="Body Text"/>
    <w:basedOn w:val="869"/>
    <w:semiHidden/>
    <w:pPr>
      <w:jc w:val="both"/>
    </w:pPr>
    <w:rPr>
      <w:szCs w:val="24"/>
    </w:rPr>
  </w:style>
  <w:style w:type="paragraph" w:styleId="880">
    <w:name w:val="footnote text"/>
    <w:basedOn w:val="869"/>
    <w:link w:val="892"/>
    <w:uiPriority w:val="99"/>
    <w:rPr>
      <w:sz w:val="20"/>
    </w:rPr>
  </w:style>
  <w:style w:type="character" w:styleId="881">
    <w:name w:val="footnote reference"/>
    <w:semiHidden/>
    <w:rPr>
      <w:vertAlign w:val="superscript"/>
    </w:rPr>
  </w:style>
  <w:style w:type="character" w:styleId="882">
    <w:name w:val="annotation reference"/>
    <w:semiHidden/>
    <w:rPr>
      <w:sz w:val="16"/>
      <w:szCs w:val="16"/>
    </w:rPr>
  </w:style>
  <w:style w:type="paragraph" w:styleId="883">
    <w:name w:val="annotation text"/>
    <w:basedOn w:val="869"/>
    <w:semiHidden/>
    <w:rPr>
      <w:sz w:val="20"/>
    </w:rPr>
  </w:style>
  <w:style w:type="paragraph" w:styleId="884">
    <w:name w:val="Footer"/>
    <w:basedOn w:val="869"/>
    <w:link w:val="896"/>
    <w:uiPriority w:val="99"/>
    <w:pPr>
      <w:tabs>
        <w:tab w:val="center" w:pos="4677" w:leader="none"/>
        <w:tab w:val="right" w:pos="9355" w:leader="none"/>
      </w:tabs>
    </w:pPr>
  </w:style>
  <w:style w:type="character" w:styleId="885">
    <w:name w:val="page number"/>
    <w:basedOn w:val="871"/>
    <w:semiHidden/>
  </w:style>
  <w:style w:type="paragraph" w:styleId="886">
    <w:name w:val="Header"/>
    <w:basedOn w:val="869"/>
    <w:semiHidden/>
    <w:pPr>
      <w:tabs>
        <w:tab w:val="center" w:pos="4677" w:leader="none"/>
        <w:tab w:val="right" w:pos="9355" w:leader="none"/>
      </w:tabs>
    </w:pPr>
  </w:style>
  <w:style w:type="paragraph" w:styleId="887">
    <w:name w:val="Balloon Text"/>
    <w:basedOn w:val="869"/>
    <w:semiHidden/>
    <w:rPr>
      <w:rFonts w:ascii="Tahoma" w:hAnsi="Tahoma" w:cs="Tahoma"/>
      <w:sz w:val="16"/>
      <w:szCs w:val="16"/>
    </w:rPr>
  </w:style>
  <w:style w:type="character" w:styleId="888" w:customStyle="1">
    <w:name w:val="ConsNormal Знак"/>
    <w:link w:val="876"/>
    <w:rPr>
      <w:rFonts w:ascii="Arial" w:hAnsi="Arial" w:cs="Arial"/>
      <w:sz w:val="24"/>
      <w:szCs w:val="24"/>
    </w:rPr>
  </w:style>
  <w:style w:type="paragraph" w:styleId="889">
    <w:name w:val="Normal (Web)"/>
    <w:basedOn w:val="869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styleId="890" w:customStyle="1">
    <w:name w:val="Пункт_1"/>
    <w:basedOn w:val="869"/>
    <w:pPr>
      <w:numPr>
        <w:ilvl w:val="0"/>
        <w:numId w:val="2"/>
      </w:numPr>
      <w:jc w:val="both"/>
      <w:keepNext/>
      <w:spacing w:line="360" w:lineRule="auto"/>
      <w:widowControl w:val="off"/>
    </w:pPr>
    <w:rPr>
      <w:b/>
      <w:bCs/>
      <w:sz w:val="28"/>
      <w:szCs w:val="28"/>
    </w:rPr>
  </w:style>
  <w:style w:type="paragraph" w:styleId="891" w:customStyle="1">
    <w:name w:val="Пункт_2"/>
    <w:basedOn w:val="869"/>
    <w:pPr>
      <w:numPr>
        <w:ilvl w:val="1"/>
        <w:numId w:val="2"/>
      </w:numPr>
      <w:jc w:val="both"/>
      <w:spacing w:line="360" w:lineRule="auto"/>
      <w:widowControl w:val="off"/>
    </w:pPr>
    <w:rPr>
      <w:sz w:val="28"/>
      <w:szCs w:val="28"/>
    </w:rPr>
  </w:style>
  <w:style w:type="character" w:styleId="892" w:customStyle="1">
    <w:name w:val="Текст сноски Знак"/>
    <w:link w:val="880"/>
    <w:uiPriority w:val="99"/>
  </w:style>
  <w:style w:type="paragraph" w:styleId="893" w:customStyle="1">
    <w:name w:val="Таблица текст"/>
    <w:basedOn w:val="869"/>
    <w:pPr>
      <w:ind w:left="57" w:right="57"/>
      <w:spacing w:before="40" w:after="40"/>
    </w:pPr>
  </w:style>
  <w:style w:type="paragraph" w:styleId="894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table" w:styleId="895">
    <w:name w:val="Table Grid"/>
    <w:basedOn w:val="872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6" w:customStyle="1">
    <w:name w:val="Нижний колонтитул Знак"/>
    <w:link w:val="884"/>
    <w:uiPriority w:val="99"/>
    <w:rPr>
      <w:sz w:val="24"/>
    </w:rPr>
  </w:style>
  <w:style w:type="character" w:styleId="897" w:customStyle="1">
    <w:name w:val="Заголовок 1 Знак"/>
    <w:basedOn w:val="871"/>
    <w:link w:val="870"/>
    <w:uiPriority w:val="9"/>
    <w:rPr>
      <w:b/>
      <w:sz w:val="24"/>
      <w:szCs w:val="24"/>
    </w:rPr>
  </w:style>
  <w:style w:type="paragraph" w:styleId="898" w:customStyle="1">
    <w:name w:val="Default"/>
    <w:rPr>
      <w:color w:val="000000"/>
      <w:sz w:val="24"/>
      <w:szCs w:val="24"/>
    </w:rPr>
  </w:style>
  <w:style w:type="paragraph" w:styleId="899">
    <w:name w:val="List Paragraph"/>
    <w:basedOn w:val="869"/>
    <w:uiPriority w:val="34"/>
    <w:qFormat/>
    <w:pPr>
      <w:contextualSpacing/>
      <w:ind w:left="720"/>
    </w:pPr>
  </w:style>
  <w:style w:type="paragraph" w:styleId="900" w:customStyle="1">
    <w:name w:val="Знак Знак Знак2 Знак1"/>
    <w:basedOn w:val="86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901">
    <w:name w:val="Hyperlink"/>
    <w:rPr>
      <w:color w:val="0066cc"/>
      <w:u w:val="single"/>
    </w:rPr>
  </w:style>
  <w:style w:type="character" w:styleId="902" w:customStyle="1">
    <w:name w:val="Сноска (2)_"/>
    <w:link w:val="903"/>
    <w:rPr>
      <w:shd w:val="clear" w:color="auto" w:fill="ffffff"/>
    </w:rPr>
  </w:style>
  <w:style w:type="paragraph" w:styleId="903" w:customStyle="1">
    <w:name w:val="Сноска (2)"/>
    <w:basedOn w:val="869"/>
    <w:link w:val="902"/>
    <w:pPr>
      <w:spacing w:before="300" w:after="480" w:line="0" w:lineRule="atLeast"/>
      <w:shd w:val="clear" w:color="auto" w:fill="ffffff"/>
    </w:pPr>
    <w:rPr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6C8CD-DAF4-4DC9-BDCA-6E8E4E0D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Хабаровскэрго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</dc:title>
  <dc:subject/>
  <dc:creator>Глухих Павел Александрович</dc:creator>
  <cp:keywords/>
  <cp:revision>98</cp:revision>
  <dcterms:created xsi:type="dcterms:W3CDTF">2021-06-24T23:18:00Z</dcterms:created>
  <dcterms:modified xsi:type="dcterms:W3CDTF">2026-02-18T06:43:18Z</dcterms:modified>
</cp:coreProperties>
</file>